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10" w:rsidRDefault="00FB5EC3">
      <w:pPr>
        <w:pStyle w:val="stbilgi"/>
        <w:tabs>
          <w:tab w:val="left" w:pos="4230"/>
        </w:tabs>
        <w:jc w:val="center"/>
        <w:rPr>
          <w:sz w:val="24"/>
          <w:szCs w:val="24"/>
        </w:rPr>
      </w:pPr>
      <w:bookmarkStart w:id="0" w:name="_GoBack"/>
      <w:bookmarkEnd w:id="0"/>
      <w:r>
        <w:rPr>
          <w:sz w:val="24"/>
          <w:szCs w:val="24"/>
        </w:rPr>
        <w:t>T.C.</w:t>
      </w:r>
    </w:p>
    <w:p w:rsidR="00671710" w:rsidRDefault="00FB5EC3">
      <w:pPr>
        <w:pStyle w:val="stbilgi"/>
        <w:jc w:val="center"/>
        <w:rPr>
          <w:sz w:val="24"/>
          <w:szCs w:val="24"/>
        </w:rPr>
      </w:pPr>
      <w:r>
        <w:rPr>
          <w:sz w:val="24"/>
          <w:szCs w:val="24"/>
        </w:rPr>
        <w:t>SAĞLIK BAKANLIĞI</w:t>
      </w:r>
    </w:p>
    <w:p w:rsidR="00671710" w:rsidRDefault="00FB5EC3">
      <w:pPr>
        <w:pStyle w:val="stbilgi"/>
        <w:tabs>
          <w:tab w:val="left" w:pos="851"/>
        </w:tabs>
        <w:jc w:val="center"/>
        <w:rPr>
          <w:sz w:val="24"/>
          <w:szCs w:val="24"/>
        </w:rPr>
      </w:pPr>
      <w:r>
        <w:rPr>
          <w:sz w:val="24"/>
          <w:szCs w:val="24"/>
        </w:rPr>
        <w:t>Tedavi Hizmetleri Genel Müdürlüğü</w:t>
      </w:r>
    </w:p>
    <w:p w:rsidR="00671710" w:rsidRDefault="00671710">
      <w:pPr>
        <w:pStyle w:val="stbilgi"/>
        <w:tabs>
          <w:tab w:val="left" w:pos="851"/>
        </w:tabs>
        <w:jc w:val="center"/>
        <w:rPr>
          <w:sz w:val="24"/>
          <w:szCs w:val="24"/>
        </w:rPr>
      </w:pPr>
    </w:p>
    <w:p w:rsidR="00671710" w:rsidRDefault="00FB5EC3">
      <w:pPr>
        <w:pStyle w:val="stbilgi"/>
      </w:pPr>
      <w:r>
        <w:rPr>
          <w:bCs/>
          <w:sz w:val="24"/>
          <w:szCs w:val="24"/>
        </w:rPr>
        <w:t xml:space="preserve">Sayı   : </w:t>
      </w:r>
      <w:r>
        <w:rPr>
          <w:sz w:val="24"/>
          <w:szCs w:val="24"/>
        </w:rPr>
        <w:t xml:space="preserve">B.10.0.THG.0.11.0.00.7-215.10-   </w:t>
      </w:r>
      <w:r>
        <w:rPr>
          <w:rFonts w:ascii="Script MT Bold" w:hAnsi="Script MT Bold" w:cs="Script MT Bold"/>
          <w:b/>
          <w:sz w:val="28"/>
          <w:szCs w:val="28"/>
        </w:rPr>
        <w:t>44772         25.11.2008</w:t>
      </w:r>
    </w:p>
    <w:p w:rsidR="00671710" w:rsidRDefault="00FB5EC3">
      <w:pPr>
        <w:pStyle w:val="Standard"/>
        <w:rPr>
          <w:bCs/>
        </w:rPr>
      </w:pPr>
      <w:r>
        <w:rPr>
          <w:bCs/>
        </w:rPr>
        <w:t>Konu : Diş Protez Teknisyenliği Meslek Hastalıkları</w:t>
      </w:r>
    </w:p>
    <w:p w:rsidR="00671710" w:rsidRDefault="00671710">
      <w:pPr>
        <w:pStyle w:val="Standard"/>
        <w:jc w:val="center"/>
      </w:pPr>
    </w:p>
    <w:p w:rsidR="00671710" w:rsidRDefault="00671710">
      <w:pPr>
        <w:pStyle w:val="Standard"/>
        <w:jc w:val="center"/>
      </w:pPr>
    </w:p>
    <w:p w:rsidR="00671710" w:rsidRDefault="00FB5EC3">
      <w:pPr>
        <w:pStyle w:val="Standard"/>
        <w:jc w:val="center"/>
      </w:pPr>
      <w:r>
        <w:t>…………....  VALİLİĞİNE</w:t>
      </w:r>
    </w:p>
    <w:p w:rsidR="00671710" w:rsidRDefault="00FB5EC3">
      <w:pPr>
        <w:pStyle w:val="Standard"/>
        <w:jc w:val="center"/>
      </w:pPr>
      <w:r>
        <w:t>(İl Sağlık Müdürlüğü)</w:t>
      </w:r>
    </w:p>
    <w:p w:rsidR="00671710" w:rsidRDefault="00671710">
      <w:pPr>
        <w:pStyle w:val="Standard"/>
        <w:jc w:val="center"/>
      </w:pPr>
    </w:p>
    <w:p w:rsidR="00671710" w:rsidRDefault="00FB5EC3">
      <w:pPr>
        <w:pStyle w:val="Standard"/>
        <w:jc w:val="center"/>
      </w:pPr>
      <w:r>
        <w:t>GENELGE</w:t>
      </w:r>
    </w:p>
    <w:p w:rsidR="00671710" w:rsidRDefault="00FB5EC3">
      <w:pPr>
        <w:pStyle w:val="Standard"/>
        <w:jc w:val="center"/>
      </w:pPr>
      <w:r>
        <w:t>2008 / 76</w:t>
      </w:r>
    </w:p>
    <w:p w:rsidR="00671710" w:rsidRDefault="00671710">
      <w:pPr>
        <w:pStyle w:val="Standard"/>
        <w:jc w:val="center"/>
      </w:pPr>
    </w:p>
    <w:p w:rsidR="00671710" w:rsidRDefault="00671710">
      <w:pPr>
        <w:pStyle w:val="Standard"/>
      </w:pPr>
    </w:p>
    <w:p w:rsidR="00671710" w:rsidRDefault="00FB5EC3">
      <w:pPr>
        <w:pStyle w:val="Standard"/>
        <w:ind w:firstLine="708"/>
        <w:jc w:val="both"/>
      </w:pPr>
      <w:r>
        <w:t>Diş protez laboratuvarlarının açılması, çalışması ve denetimi 07.12.2005 tarih ve 26016 sayılı Resmi Gazete’de yayımlanarak yürürlüğe giren Diş Protez Laboratuvarları Yönetmeliği ile düzenlenm</w:t>
      </w:r>
      <w:r>
        <w:t xml:space="preserve">iştir. Anılan Yönetmelikte diş protez laboratuvarlarında </w:t>
      </w:r>
      <w:r>
        <w:rPr>
          <w:bCs/>
        </w:rPr>
        <w:t>çalışan mes’ul müdür dahil diş protez teknisyenlerinin periyodik sağlık muayenelerinin yapılması yönündeki düzenleme ile başta meslek hastalığı olan çalışanlar olmak üzere bulaşıcı hastalığı olanları</w:t>
      </w:r>
      <w:r>
        <w:rPr>
          <w:bCs/>
        </w:rPr>
        <w:t>n tespit edilmesine imkan sağlanmıştır.</w:t>
      </w:r>
    </w:p>
    <w:p w:rsidR="00671710" w:rsidRDefault="00FB5EC3">
      <w:pPr>
        <w:pStyle w:val="Standard"/>
        <w:ind w:firstLine="708"/>
        <w:jc w:val="both"/>
        <w:rPr>
          <w:bCs/>
        </w:rPr>
      </w:pPr>
      <w:r>
        <w:rPr>
          <w:bCs/>
        </w:rPr>
        <w:t xml:space="preserve">Ancak bu tür hastalıkların henüz oluşmadan önlenmesi esas olduğundan ve hastalık tespit edildiğinde erken tanı avantajından yararlanılabilmesi için diş protez laboratuvarlarına müdürlüğünüz il denetim ekibi </w:t>
      </w:r>
      <w:r>
        <w:rPr>
          <w:bCs/>
        </w:rPr>
        <w:t>tarafından yapılan tüm denetimlerde aşağıda sıralanan hususların dikkate alınması ve uygulamanın bu doğrultuda yapılması gerekmektedir.</w:t>
      </w:r>
    </w:p>
    <w:p w:rsidR="00671710" w:rsidRDefault="00671710">
      <w:pPr>
        <w:pStyle w:val="Standard"/>
        <w:ind w:firstLine="708"/>
        <w:jc w:val="both"/>
        <w:rPr>
          <w:bCs/>
        </w:rPr>
      </w:pPr>
    </w:p>
    <w:p w:rsidR="00671710" w:rsidRDefault="00FB5EC3">
      <w:pPr>
        <w:pStyle w:val="Standard"/>
        <w:numPr>
          <w:ilvl w:val="0"/>
          <w:numId w:val="2"/>
        </w:numPr>
        <w:jc w:val="both"/>
      </w:pPr>
      <w:r>
        <w:t>Özel diş protez laboratuvarlarında çalışanların, göğüs hastalıkları uzmanı veya işyeri hekimliği sertifikası olan hekim</w:t>
      </w:r>
      <w:r>
        <w:t xml:space="preserve"> tarafından işe uygunlukları yönünden işe girişlerinde değerlendirilmesi, 16 Haziran 2004 tarihli ve 25494 sayılı Resmi Gazete’de yayımlanarak yürürlüğe giren Ağır ve Tehlikeli İşler Yönetmeliği’ne ekli ağır ve tehlikeli işlerde çalışacaklara ait işe giriş</w:t>
      </w:r>
      <w:r>
        <w:t>/periyodik muayene formu Genelge eki Ek-1’in eksiksiz biçimde doldurulması ve bu belgenin mes’ul müdür tarafından ruhsat müracaat dosyasına ilave edilmesinin sağlanması,</w:t>
      </w:r>
    </w:p>
    <w:p w:rsidR="00671710" w:rsidRDefault="00FB5EC3">
      <w:pPr>
        <w:pStyle w:val="Standard"/>
        <w:numPr>
          <w:ilvl w:val="0"/>
          <w:numId w:val="1"/>
        </w:numPr>
        <w:jc w:val="both"/>
        <w:rPr>
          <w:bCs/>
          <w:color w:val="FF0000"/>
        </w:rPr>
      </w:pPr>
      <w:r>
        <w:rPr>
          <w:bCs/>
          <w:color w:val="FF0000"/>
        </w:rPr>
        <w:t>Ruhsat başvuru işlemlerinde rutin olmak üzere; tüm özel diş protez laboratuvarlarından</w:t>
      </w:r>
      <w:r>
        <w:rPr>
          <w:bCs/>
          <w:color w:val="FF0000"/>
        </w:rPr>
        <w:t>, mes’ul müdür dahil çalışanların, öncelikle 2009 yılının olmak üzere iki yılda bir, yılın ilk 6 ayı içerisinde uygun doz ve teknikle çekilmiş radyoloji uzmanı tarafından raporlanmış büyük boy akciğer grafilerinin, il denetim ekibi tarafından doldurulan Ge</w:t>
      </w:r>
      <w:r>
        <w:rPr>
          <w:bCs/>
          <w:color w:val="FF0000"/>
        </w:rPr>
        <w:t>nelge eki Ek-2 tarama formunun, diş protez laboratuvarı personel çalışma belgesi örneği ile birlikte ilinizin bağlı bulunduğu meslek hastalıkları hastanesine toplu bir şekilde gönderilmesi ve bu hastanede yapılan işlemlerin izlenmesi,</w:t>
      </w:r>
    </w:p>
    <w:p w:rsidR="00671710" w:rsidRDefault="00FB5EC3">
      <w:pPr>
        <w:pStyle w:val="Standard"/>
        <w:numPr>
          <w:ilvl w:val="0"/>
          <w:numId w:val="1"/>
        </w:numPr>
        <w:jc w:val="both"/>
        <w:rPr>
          <w:bCs/>
        </w:rPr>
      </w:pPr>
      <w:r>
        <w:rPr>
          <w:bCs/>
        </w:rPr>
        <w:t>Laboratuvarlarda kull</w:t>
      </w:r>
      <w:r>
        <w:rPr>
          <w:bCs/>
        </w:rPr>
        <w:t>anılan cihazların ve masaların koruyucu aparatlarından olan aspiratör, vakum, kapalı çalışma alanlarının v.b. varlığı yeterli görülmemeli, bu cihazlar protez yapım esnasında çalıştırılarak bakılmalı, kumlama cihazı çalışırken ortama kum yayılıp yayılmadığı</w:t>
      </w:r>
      <w:r>
        <w:rPr>
          <w:bCs/>
        </w:rPr>
        <w:t>, metal tesviye işlemlerinde vakum cihazının metal tozlarını yeterince çekip çekmediği, duplikasyon, modelasyon, döküm ve polisaj işleri esnasında ortama tehlikeli buhar ve dumanların yayılıp yayılmadığı ile olumsuz bir durumun tespit edilmesi halinde ilgi</w:t>
      </w:r>
      <w:r>
        <w:rPr>
          <w:bCs/>
        </w:rPr>
        <w:t xml:space="preserve">li Yönetmelik Ek 7’de yer alan Diş Protez Laboratuvarları Denetleme Formunun 6 ncı maddesinin uygulanması,   </w:t>
      </w:r>
    </w:p>
    <w:p w:rsidR="00671710" w:rsidRDefault="00FB5EC3">
      <w:pPr>
        <w:pStyle w:val="Standard"/>
        <w:numPr>
          <w:ilvl w:val="0"/>
          <w:numId w:val="1"/>
        </w:numPr>
        <w:jc w:val="both"/>
      </w:pPr>
      <w:r>
        <w:t>Anılan Yönetmeliğin 4 üncü maddesinde laboratuvarlarda bulundurulması gereken ortak araç ve gereçlerin yanı sıra “EN-149 Standardına Uygun Endüstr</w:t>
      </w:r>
      <w:r>
        <w:t>iyel Tip Toz Maskeleri”nin de aranması ile bu maskelerin denetimler esnasında da varlığının ve kullanılırlığının tespitinin yapılması,</w:t>
      </w:r>
    </w:p>
    <w:p w:rsidR="00671710" w:rsidRDefault="00671710">
      <w:pPr>
        <w:pStyle w:val="Standard"/>
        <w:ind w:left="708"/>
        <w:jc w:val="both"/>
        <w:rPr>
          <w:bCs/>
        </w:rPr>
      </w:pPr>
    </w:p>
    <w:p w:rsidR="00671710" w:rsidRDefault="00FB5EC3">
      <w:pPr>
        <w:pStyle w:val="Standard"/>
        <w:ind w:firstLine="708"/>
        <w:jc w:val="both"/>
        <w:rPr>
          <w:bCs/>
        </w:rPr>
      </w:pPr>
      <w:r>
        <w:rPr>
          <w:bCs/>
        </w:rPr>
        <w:t>Hususlarının müdürlüğünüz denetim ekibine, iliniz dahilinde bulunan tüm özel diş protez laboratuvarları mes’ul müdürleri</w:t>
      </w:r>
      <w:r>
        <w:rPr>
          <w:bCs/>
        </w:rPr>
        <w:t>ne ve ilgili meslek hastalıkları hastanesi baştabipliklerine bildirilmesi ile gereken önem ve titizliğin gösterilmesini rica ederim.</w:t>
      </w:r>
    </w:p>
    <w:p w:rsidR="00671710" w:rsidRDefault="00671710">
      <w:pPr>
        <w:pStyle w:val="Standard"/>
        <w:ind w:left="708"/>
        <w:jc w:val="both"/>
        <w:rPr>
          <w:bCs/>
        </w:rPr>
      </w:pPr>
    </w:p>
    <w:p w:rsidR="00671710" w:rsidRDefault="00671710">
      <w:pPr>
        <w:pStyle w:val="Standard"/>
        <w:ind w:left="708"/>
        <w:jc w:val="both"/>
        <w:rPr>
          <w:bCs/>
        </w:rPr>
      </w:pPr>
    </w:p>
    <w:p w:rsidR="00671710" w:rsidRDefault="00671710">
      <w:pPr>
        <w:pStyle w:val="Standard"/>
        <w:ind w:firstLine="708"/>
        <w:rPr>
          <w:bCs/>
        </w:rPr>
      </w:pPr>
    </w:p>
    <w:p w:rsidR="00671710" w:rsidRDefault="00671710">
      <w:pPr>
        <w:pStyle w:val="Standard"/>
        <w:ind w:firstLine="708"/>
        <w:rPr>
          <w:bCs/>
        </w:rPr>
      </w:pPr>
    </w:p>
    <w:p w:rsidR="00671710" w:rsidRDefault="00671710">
      <w:pPr>
        <w:pStyle w:val="Standard"/>
        <w:ind w:firstLine="708"/>
        <w:rPr>
          <w:bCs/>
        </w:rPr>
      </w:pPr>
    </w:p>
    <w:p w:rsidR="00671710" w:rsidRDefault="00FB5EC3">
      <w:pPr>
        <w:pStyle w:val="stbilgi"/>
        <w:tabs>
          <w:tab w:val="left" w:pos="540"/>
        </w:tabs>
        <w:jc w:val="center"/>
      </w:pPr>
      <w:r>
        <w:tab/>
      </w:r>
      <w:r>
        <w:tab/>
        <w:t xml:space="preserve">     </w:t>
      </w:r>
      <w:r>
        <w:tab/>
      </w:r>
      <w:r>
        <w:tab/>
      </w:r>
      <w:r>
        <w:tab/>
        <w:t xml:space="preserve">                    </w:t>
      </w:r>
    </w:p>
    <w:p w:rsidR="00671710" w:rsidRDefault="00FB5EC3">
      <w:pPr>
        <w:pStyle w:val="stbilgi"/>
        <w:tabs>
          <w:tab w:val="clear" w:pos="4536"/>
          <w:tab w:val="clear" w:pos="9072"/>
          <w:tab w:val="left" w:pos="5496"/>
          <w:tab w:val="center" w:pos="9492"/>
          <w:tab w:val="right" w:pos="14028"/>
        </w:tabs>
        <w:ind w:left="4956"/>
        <w:jc w:val="center"/>
        <w:rPr>
          <w:sz w:val="24"/>
          <w:szCs w:val="24"/>
        </w:rPr>
      </w:pPr>
      <w:r>
        <w:rPr>
          <w:sz w:val="24"/>
          <w:szCs w:val="24"/>
        </w:rPr>
        <w:t>Uz. Dr. Orhan F. GÜMRÜKÇÜOĞLU</w:t>
      </w:r>
    </w:p>
    <w:p w:rsidR="00671710" w:rsidRDefault="00FB5EC3">
      <w:pPr>
        <w:pStyle w:val="stbilgi"/>
        <w:tabs>
          <w:tab w:val="clear" w:pos="4536"/>
          <w:tab w:val="clear" w:pos="9072"/>
          <w:tab w:val="left" w:pos="5496"/>
          <w:tab w:val="center" w:pos="9492"/>
          <w:tab w:val="right" w:pos="14028"/>
        </w:tabs>
        <w:ind w:left="4956"/>
        <w:jc w:val="center"/>
        <w:rPr>
          <w:sz w:val="24"/>
          <w:szCs w:val="24"/>
        </w:rPr>
      </w:pPr>
      <w:r>
        <w:rPr>
          <w:sz w:val="24"/>
          <w:szCs w:val="24"/>
        </w:rPr>
        <w:t>Bakan a.</w:t>
      </w:r>
    </w:p>
    <w:p w:rsidR="00671710" w:rsidRDefault="00FB5EC3">
      <w:pPr>
        <w:pStyle w:val="stbilgi"/>
        <w:tabs>
          <w:tab w:val="clear" w:pos="4536"/>
          <w:tab w:val="clear" w:pos="9072"/>
          <w:tab w:val="left" w:pos="5496"/>
          <w:tab w:val="center" w:pos="9492"/>
          <w:tab w:val="right" w:pos="14028"/>
        </w:tabs>
        <w:ind w:left="4956"/>
        <w:jc w:val="center"/>
        <w:rPr>
          <w:sz w:val="24"/>
          <w:szCs w:val="24"/>
        </w:rPr>
      </w:pPr>
      <w:r>
        <w:rPr>
          <w:sz w:val="24"/>
          <w:szCs w:val="24"/>
        </w:rPr>
        <w:t>Müsteşar</w:t>
      </w:r>
    </w:p>
    <w:p w:rsidR="00671710" w:rsidRDefault="00671710">
      <w:pPr>
        <w:pStyle w:val="Altbilgi"/>
        <w:tabs>
          <w:tab w:val="clear" w:pos="4536"/>
          <w:tab w:val="clear" w:pos="9072"/>
        </w:tabs>
        <w:jc w:val="both"/>
        <w:rPr>
          <w:rFonts w:ascii="Times New Roman" w:hAnsi="Times New Roman" w:cs="Times New Roman"/>
          <w:szCs w:val="24"/>
        </w:rPr>
      </w:pPr>
    </w:p>
    <w:p w:rsidR="00671710" w:rsidRDefault="00671710">
      <w:pPr>
        <w:pStyle w:val="Altbilgi"/>
        <w:tabs>
          <w:tab w:val="clear" w:pos="4536"/>
          <w:tab w:val="clear" w:pos="9072"/>
        </w:tabs>
        <w:jc w:val="both"/>
        <w:rPr>
          <w:rFonts w:ascii="Times New Roman" w:hAnsi="Times New Roman" w:cs="Times New Roman"/>
          <w:szCs w:val="24"/>
        </w:rPr>
      </w:pPr>
    </w:p>
    <w:p w:rsidR="00671710" w:rsidRDefault="00671710">
      <w:pPr>
        <w:pStyle w:val="Altbilgi"/>
        <w:tabs>
          <w:tab w:val="clear" w:pos="4536"/>
          <w:tab w:val="clear" w:pos="9072"/>
        </w:tabs>
        <w:jc w:val="both"/>
      </w:pPr>
    </w:p>
    <w:p w:rsidR="00671710" w:rsidRDefault="00671710">
      <w:pPr>
        <w:pStyle w:val="Altbilgi"/>
        <w:tabs>
          <w:tab w:val="clear" w:pos="4536"/>
          <w:tab w:val="clear" w:pos="9072"/>
        </w:tabs>
        <w:jc w:val="both"/>
      </w:pPr>
    </w:p>
    <w:p w:rsidR="00671710" w:rsidRDefault="00671710">
      <w:pPr>
        <w:pStyle w:val="Altbilgi"/>
        <w:tabs>
          <w:tab w:val="clear" w:pos="4536"/>
          <w:tab w:val="clear" w:pos="9072"/>
        </w:tabs>
        <w:jc w:val="both"/>
      </w:pPr>
    </w:p>
    <w:p w:rsidR="00671710" w:rsidRDefault="00671710">
      <w:pPr>
        <w:pStyle w:val="Altbilgi"/>
        <w:tabs>
          <w:tab w:val="clear" w:pos="4536"/>
          <w:tab w:val="clear" w:pos="9072"/>
        </w:tabs>
        <w:jc w:val="both"/>
      </w:pPr>
    </w:p>
    <w:p w:rsidR="00671710" w:rsidRDefault="00FB5EC3">
      <w:pPr>
        <w:pStyle w:val="Altbilgi"/>
        <w:tabs>
          <w:tab w:val="clear" w:pos="4536"/>
          <w:tab w:val="clear" w:pos="9072"/>
        </w:tabs>
        <w:jc w:val="both"/>
        <w:rPr>
          <w:rFonts w:ascii="Times New Roman" w:hAnsi="Times New Roman" w:cs="Times New Roman"/>
        </w:rPr>
      </w:pPr>
      <w:r>
        <w:rPr>
          <w:rFonts w:ascii="Times New Roman" w:hAnsi="Times New Roman" w:cs="Times New Roman"/>
        </w:rPr>
        <w:t>DAĞITIM:</w:t>
      </w:r>
    </w:p>
    <w:p w:rsidR="00671710" w:rsidRDefault="00FB5EC3">
      <w:pPr>
        <w:pStyle w:val="Altbilgi"/>
        <w:tabs>
          <w:tab w:val="clear" w:pos="4536"/>
          <w:tab w:val="clear" w:pos="9072"/>
        </w:tabs>
        <w:jc w:val="both"/>
        <w:rPr>
          <w:rFonts w:ascii="Times New Roman" w:hAnsi="Times New Roman" w:cs="Times New Roman"/>
        </w:rPr>
      </w:pPr>
      <w:r>
        <w:rPr>
          <w:rFonts w:ascii="Times New Roman" w:hAnsi="Times New Roman" w:cs="Times New Roman"/>
        </w:rPr>
        <w:t>Gereği:</w:t>
      </w:r>
    </w:p>
    <w:p w:rsidR="00671710" w:rsidRDefault="00FB5EC3">
      <w:pPr>
        <w:pStyle w:val="Altbilgi"/>
        <w:tabs>
          <w:tab w:val="clear" w:pos="4536"/>
          <w:tab w:val="clear" w:pos="9072"/>
        </w:tabs>
        <w:jc w:val="both"/>
        <w:rPr>
          <w:rFonts w:ascii="Times New Roman" w:hAnsi="Times New Roman" w:cs="Times New Roman"/>
        </w:rPr>
      </w:pPr>
      <w:r>
        <w:rPr>
          <w:rFonts w:ascii="Times New Roman" w:hAnsi="Times New Roman" w:cs="Times New Roman"/>
        </w:rPr>
        <w:t>81 İl Valiliği</w:t>
      </w:r>
    </w:p>
    <w:p w:rsidR="00671710" w:rsidRDefault="00671710">
      <w:pPr>
        <w:pStyle w:val="Altbilgi"/>
        <w:jc w:val="center"/>
        <w:rPr>
          <w:sz w:val="20"/>
        </w:rPr>
      </w:pPr>
    </w:p>
    <w:p w:rsidR="00671710" w:rsidRDefault="00671710">
      <w:pPr>
        <w:pStyle w:val="Altbilgi"/>
        <w:jc w:val="center"/>
        <w:rPr>
          <w:sz w:val="20"/>
        </w:rPr>
      </w:pPr>
    </w:p>
    <w:p w:rsidR="00671710" w:rsidRDefault="00671710">
      <w:pPr>
        <w:pStyle w:val="Altbilgi"/>
        <w:jc w:val="center"/>
        <w:rPr>
          <w:sz w:val="20"/>
        </w:rPr>
      </w:pPr>
    </w:p>
    <w:p w:rsidR="00671710" w:rsidRDefault="00671710">
      <w:pPr>
        <w:pStyle w:val="Altbilgi"/>
        <w:jc w:val="center"/>
      </w:pPr>
    </w:p>
    <w:p w:rsidR="00671710" w:rsidRDefault="00671710">
      <w:pPr>
        <w:pStyle w:val="Altbilgi"/>
        <w:jc w:val="center"/>
        <w:rPr>
          <w:sz w:val="20"/>
        </w:rPr>
      </w:pPr>
    </w:p>
    <w:p w:rsidR="00671710" w:rsidRDefault="00671710">
      <w:pPr>
        <w:pStyle w:val="Altbilgi"/>
        <w:jc w:val="center"/>
        <w:rPr>
          <w:sz w:val="20"/>
        </w:rPr>
      </w:pPr>
    </w:p>
    <w:p w:rsidR="00671710" w:rsidRDefault="00671710">
      <w:pPr>
        <w:pStyle w:val="Altbilgi"/>
        <w:jc w:val="center"/>
        <w:rPr>
          <w:sz w:val="20"/>
        </w:rPr>
      </w:pPr>
    </w:p>
    <w:p w:rsidR="00671710" w:rsidRDefault="00671710">
      <w:pPr>
        <w:pStyle w:val="Altbilgi"/>
        <w:jc w:val="center"/>
        <w:rPr>
          <w:sz w:val="20"/>
        </w:rPr>
      </w:pPr>
    </w:p>
    <w:p w:rsidR="00671710" w:rsidRDefault="00671710">
      <w:pPr>
        <w:pStyle w:val="Altbilgi"/>
        <w:jc w:val="center"/>
        <w:rPr>
          <w:szCs w:val="24"/>
        </w:rPr>
      </w:pPr>
    </w:p>
    <w:p w:rsidR="00671710" w:rsidRDefault="00671710">
      <w:pPr>
        <w:pStyle w:val="Altbilgi"/>
        <w:jc w:val="center"/>
        <w:rPr>
          <w:szCs w:val="24"/>
        </w:rPr>
      </w:pPr>
    </w:p>
    <w:p w:rsidR="00671710" w:rsidRDefault="00671710">
      <w:pPr>
        <w:pStyle w:val="Altbilgi"/>
        <w:jc w:val="center"/>
        <w:rPr>
          <w:szCs w:val="24"/>
        </w:rPr>
      </w:pPr>
    </w:p>
    <w:p w:rsidR="00671710" w:rsidRDefault="00671710">
      <w:pPr>
        <w:pStyle w:val="Altbilgi"/>
        <w:jc w:val="center"/>
        <w:rPr>
          <w:szCs w:val="24"/>
        </w:rPr>
      </w:pPr>
    </w:p>
    <w:p w:rsidR="00671710" w:rsidRDefault="00671710">
      <w:pPr>
        <w:pStyle w:val="Altbilgi"/>
        <w:jc w:val="center"/>
        <w:rPr>
          <w:szCs w:val="24"/>
        </w:rPr>
      </w:pPr>
    </w:p>
    <w:p w:rsidR="00671710" w:rsidRDefault="00671710">
      <w:pPr>
        <w:pStyle w:val="Altbilgi"/>
        <w:jc w:val="center"/>
        <w:rPr>
          <w:szCs w:val="24"/>
        </w:rPr>
      </w:pPr>
    </w:p>
    <w:p w:rsidR="00671710" w:rsidRDefault="00671710">
      <w:pPr>
        <w:pStyle w:val="Altbilgi"/>
        <w:jc w:val="center"/>
        <w:rPr>
          <w:szCs w:val="24"/>
        </w:rPr>
      </w:pPr>
    </w:p>
    <w:p w:rsidR="00671710" w:rsidRDefault="00671710">
      <w:pPr>
        <w:pStyle w:val="Altbilgi"/>
        <w:jc w:val="center"/>
        <w:rPr>
          <w:szCs w:val="24"/>
        </w:rPr>
      </w:pPr>
    </w:p>
    <w:p w:rsidR="00671710" w:rsidRDefault="00671710">
      <w:pPr>
        <w:pStyle w:val="Altbilgi"/>
        <w:jc w:val="center"/>
        <w:rPr>
          <w:szCs w:val="24"/>
        </w:rPr>
      </w:pPr>
    </w:p>
    <w:p w:rsidR="00671710" w:rsidRDefault="00671710">
      <w:pPr>
        <w:pStyle w:val="Altbilgi"/>
        <w:jc w:val="center"/>
        <w:rPr>
          <w:szCs w:val="24"/>
        </w:rPr>
      </w:pPr>
    </w:p>
    <w:p w:rsidR="00671710" w:rsidRDefault="00671710">
      <w:pPr>
        <w:pStyle w:val="Altbilgi"/>
        <w:jc w:val="center"/>
        <w:rPr>
          <w:szCs w:val="24"/>
        </w:rPr>
      </w:pPr>
    </w:p>
    <w:p w:rsidR="00671710" w:rsidRDefault="00671710">
      <w:pPr>
        <w:pStyle w:val="Altbilgi"/>
        <w:jc w:val="center"/>
        <w:rPr>
          <w:szCs w:val="24"/>
        </w:rPr>
      </w:pPr>
    </w:p>
    <w:p w:rsidR="00671710" w:rsidRDefault="00671710">
      <w:pPr>
        <w:pStyle w:val="Altbilgi"/>
        <w:jc w:val="center"/>
        <w:rPr>
          <w:sz w:val="20"/>
        </w:rPr>
      </w:pPr>
    </w:p>
    <w:p w:rsidR="00671710" w:rsidRDefault="00671710">
      <w:pPr>
        <w:pStyle w:val="Altbilgi"/>
        <w:jc w:val="center"/>
        <w:rPr>
          <w:sz w:val="20"/>
        </w:rPr>
      </w:pPr>
    </w:p>
    <w:p w:rsidR="00671710" w:rsidRDefault="00671710">
      <w:pPr>
        <w:pStyle w:val="Altbilgi"/>
        <w:jc w:val="center"/>
        <w:rPr>
          <w:sz w:val="20"/>
        </w:rPr>
      </w:pPr>
    </w:p>
    <w:p w:rsidR="00671710" w:rsidRDefault="00671710">
      <w:pPr>
        <w:pStyle w:val="Altbilgi"/>
        <w:jc w:val="center"/>
        <w:rPr>
          <w:sz w:val="20"/>
        </w:rPr>
      </w:pPr>
    </w:p>
    <w:p w:rsidR="00671710" w:rsidRDefault="00671710">
      <w:pPr>
        <w:pStyle w:val="Altbilgi"/>
        <w:jc w:val="center"/>
        <w:rPr>
          <w:sz w:val="20"/>
        </w:rPr>
      </w:pPr>
    </w:p>
    <w:p w:rsidR="00671710" w:rsidRDefault="00671710">
      <w:pPr>
        <w:pStyle w:val="Altbilgi"/>
        <w:jc w:val="center"/>
        <w:rPr>
          <w:sz w:val="20"/>
        </w:rPr>
      </w:pPr>
    </w:p>
    <w:p w:rsidR="00671710" w:rsidRDefault="00671710">
      <w:pPr>
        <w:pStyle w:val="Altbilgi"/>
        <w:jc w:val="center"/>
        <w:rPr>
          <w:sz w:val="20"/>
        </w:rPr>
      </w:pPr>
    </w:p>
    <w:p w:rsidR="00671710" w:rsidRDefault="00FB5EC3">
      <w:pPr>
        <w:pStyle w:val="Altbilgi"/>
        <w:jc w:val="both"/>
        <w:rPr>
          <w:rFonts w:ascii="Times New Roman" w:hAnsi="Times New Roman" w:cs="Times New Roman"/>
          <w:sz w:val="20"/>
        </w:rPr>
      </w:pPr>
      <w:r>
        <w:rPr>
          <w:rFonts w:ascii="Times New Roman" w:hAnsi="Times New Roman" w:cs="Times New Roman"/>
          <w:sz w:val="20"/>
        </w:rPr>
        <w:t>Sağlık Bakanlığı Temel Sağlık Hizmetleri Genel Müdürlüğü Mithatpaşa Cad. No:3  B Blok 3. Kat No:13 Sıhhiye/ANKARA Tel: 0  312 585 15 53 Faks: 0 312 585 15 65 - 66</w:t>
      </w:r>
    </w:p>
    <w:p w:rsidR="00671710" w:rsidRDefault="00671710">
      <w:pPr>
        <w:pStyle w:val="Standard"/>
        <w:jc w:val="center"/>
        <w:rPr>
          <w:b/>
          <w:sz w:val="20"/>
          <w:szCs w:val="20"/>
        </w:rPr>
      </w:pPr>
    </w:p>
    <w:sectPr w:rsidR="0067171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EC3" w:rsidRDefault="00FB5EC3">
      <w:r>
        <w:separator/>
      </w:r>
    </w:p>
  </w:endnote>
  <w:endnote w:type="continuationSeparator" w:id="0">
    <w:p w:rsidR="00FB5EC3" w:rsidRDefault="00FB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cript MT Bold">
    <w:altName w:val="Bradley Hand ITC"/>
    <w:charset w:val="00"/>
    <w:family w:val="script"/>
    <w:pitch w:val="variable"/>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EC3" w:rsidRDefault="00FB5EC3">
      <w:r>
        <w:rPr>
          <w:color w:val="000000"/>
        </w:rPr>
        <w:ptab w:relativeTo="margin" w:alignment="center" w:leader="none"/>
      </w:r>
    </w:p>
  </w:footnote>
  <w:footnote w:type="continuationSeparator" w:id="0">
    <w:p w:rsidR="00FB5EC3" w:rsidRDefault="00FB5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931E0"/>
    <w:multiLevelType w:val="multilevel"/>
    <w:tmpl w:val="18D64EA2"/>
    <w:styleLink w:val="WW8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671710"/>
    <w:rsid w:val="00671710"/>
    <w:rsid w:val="00C82668"/>
    <w:rsid w:val="00FB5E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68366-2CF5-44A9-ABDC-EAAE2639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tbilgi">
    <w:name w:val="header"/>
    <w:basedOn w:val="Standard"/>
    <w:pPr>
      <w:tabs>
        <w:tab w:val="center" w:pos="4536"/>
        <w:tab w:val="right" w:pos="9072"/>
      </w:tabs>
    </w:pPr>
    <w:rPr>
      <w:sz w:val="20"/>
      <w:szCs w:val="20"/>
    </w:rPr>
  </w:style>
  <w:style w:type="paragraph" w:styleId="Altbilgi">
    <w:name w:val="footer"/>
    <w:basedOn w:val="Standard"/>
    <w:pPr>
      <w:tabs>
        <w:tab w:val="center" w:pos="4536"/>
        <w:tab w:val="right" w:pos="9072"/>
      </w:tabs>
    </w:pPr>
    <w:rPr>
      <w:rFonts w:ascii="Arial" w:hAnsi="Arial" w:cs="Arial"/>
      <w:szCs w:val="20"/>
    </w:rPr>
  </w:style>
  <w:style w:type="numbering" w:customStyle="1" w:styleId="WW8Num1">
    <w:name w:val="WW8Num1"/>
    <w:basedOn w:val="ListeYok"/>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srkngr</dc:creator>
  <cp:lastModifiedBy>srkngr</cp:lastModifiedBy>
  <cp:revision>2</cp:revision>
  <dcterms:created xsi:type="dcterms:W3CDTF">2018-02-06T07:11:00Z</dcterms:created>
  <dcterms:modified xsi:type="dcterms:W3CDTF">2018-02-06T07:11:00Z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